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Stand: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Gültig bis: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Preisliste Malerarbeiten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Alle Preise in Euro je Einheit. Netto zuzüglich [19] % Umsatzsteuer, brutto einschließlich Umsatzsteuer. Abgerechnet wird nach Aufmaß.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5"/>
        <w:gridCol w:w="4337"/>
        <w:gridCol w:w="771"/>
        <w:gridCol w:w="964"/>
        <w:gridCol w:w="964"/>
        <w:gridCol w:w="964"/>
        <w:gridCol w:w="963"/>
      </w:tblGrid>
      <w:tr>
        <w:trPr>
          <w:tblHeader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Lohn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Material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netto</w:t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brutto</w:t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 Vorarbeiten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Abdecken und Abkleben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 Tapete entfernen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 Tapete entfernen (mehrlagig/schwer)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Wände spachteln (Q2)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1.5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Wände spachteln (Q3)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1.6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Schleifen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1.7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Grundierung (Tiefgrund)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 Tapezierarbeiten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Tapezieren (Raufaser)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Tapezieren (Mustertapete)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  Anstrich innen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Wände streichen (1x)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Wände streichen (2x Dispersionsfarbe)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Decke streichen (1x)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Decke streichen (2x)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  Lackierarbeiten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Türblatt lackieren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Stk.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Türzarge lackieren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Stk.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Fenster lackieren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Stk.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Heizkörper lackieren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Stk.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  Fassade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Gerüst stellen (Auf-/Abbau inkl. Grundmiete)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Fassade grundieren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Fassade streichen (2x)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  Stundensätze und Anfahrt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Maler-Stundensatz (Geselle/Meister)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Std.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Anfahrt zur Baustelle (An- und Abfahrt, Rüstkosten)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psch.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Zuschläge für Altanstriche, Arbeiten über 3 m Raumhöhe, Mindestauftragswert, Entsorgung]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Lohn umfasst Arbeits-, Maschinen- und Fahrtkosten. Bei Arbeiten im Haushalt von Privatkunden weisen wir ihn in der Rechnung gesondert aus (§ 35a EStG).</w:t>
      </w:r>
    </w:p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Preisliste Maler Vorlage</dc:title>
  <dc:creator>Angebotsmeister</dc:creator>
  <dc:description>Leere Preisliste Maler als Word und PDF: 22 typische Positionen von Abdeckarbeiten über Spachteln, Tapezieren und Anstrich bis zu Lackierarbeiten und Fassade, mit Einheit und leeren Spalten für Lohn, Material und Einheitspreis. Die Preise trägst du selbst ein.</dc:description>
  <cp:lastModifiedBy>Un-named</cp:lastModifiedBy>
  <cp:revision>1</cp:revision>
  <dcterms:created xsi:type="dcterms:W3CDTF">2026-10-29T08:18:49.375Z</dcterms:created>
  <dcterms:modified xsi:type="dcterms:W3CDTF">2026-10-29T08:18:49.375Z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